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6" w:rsidRPr="001466F1" w:rsidRDefault="00692C07">
      <w:pPr>
        <w:rPr>
          <w:lang w:val="en-GB"/>
        </w:rPr>
      </w:pPr>
      <w:r w:rsidRPr="001466F1">
        <w:rPr>
          <w:noProof/>
          <w:lang w:eastAsia="tr-TR"/>
        </w:rPr>
        <w:drawing>
          <wp:inline distT="0" distB="0" distL="0" distR="0">
            <wp:extent cx="5760720" cy="966521"/>
            <wp:effectExtent l="0" t="0" r="0" b="5080"/>
            <wp:docPr id="1" name="Resim 1" descr="http://insanhaklari.istanbul.edu.tr/images/Istanbul%20Summer%20School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anhaklari.istanbul.edu.tr/images/Istanbul%20Summer%20School%202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E95" w:rsidRPr="00A746AD" w:rsidRDefault="00666464" w:rsidP="00821E95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tr-TR"/>
        </w:rPr>
        <w:t>LAW ON THE BOSPHORUS IV</w:t>
      </w:r>
    </w:p>
    <w:p w:rsidR="00692C07" w:rsidRPr="00A746AD" w:rsidRDefault="00666464" w:rsidP="00692C07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tr-TR"/>
        </w:rPr>
        <w:t>INTERNATIONAL SUMMER SCHOOL 2016</w:t>
      </w:r>
    </w:p>
    <w:p w:rsidR="00A746AD" w:rsidRPr="00A746AD" w:rsidRDefault="000B60AA" w:rsidP="00692C07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tr-TR"/>
        </w:rPr>
        <w:t>11</w:t>
      </w:r>
      <w:r w:rsidR="00666464" w:rsidRPr="008F4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tr-TR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tr-TR"/>
        </w:rPr>
        <w:t>21</w:t>
      </w:r>
      <w:r w:rsidR="00666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tr-TR"/>
        </w:rPr>
        <w:t xml:space="preserve"> JULY 2016</w:t>
      </w:r>
      <w:r w:rsidR="00984B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tr-TR"/>
        </w:rPr>
        <w:t>, ISTANBUL</w:t>
      </w:r>
    </w:p>
    <w:p w:rsidR="00692C07" w:rsidRPr="00A746AD" w:rsidRDefault="00692C07" w:rsidP="00692C07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 </w:t>
      </w:r>
    </w:p>
    <w:p w:rsidR="001B0CDD" w:rsidRPr="00A746AD" w:rsidRDefault="001B0CDD" w:rsidP="00692C07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val="en-GB" w:eastAsia="tr-TR"/>
        </w:rPr>
      </w:pPr>
    </w:p>
    <w:p w:rsidR="00692C07" w:rsidRPr="00A746AD" w:rsidRDefault="00666464" w:rsidP="00666464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GB" w:eastAsia="tr-TR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val="en-GB" w:eastAsia="tr-TR"/>
        </w:rPr>
        <w:t xml:space="preserve">HUMAN RIGHTS </w:t>
      </w:r>
      <w:r w:rsidR="00CF5ED7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val="en-GB" w:eastAsia="tr-TR"/>
        </w:rPr>
        <w:t xml:space="preserve">AND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val="en-GB" w:eastAsia="tr-TR"/>
        </w:rPr>
        <w:t xml:space="preserve">CRIMINAL JUSTICE </w:t>
      </w:r>
    </w:p>
    <w:p w:rsidR="00692C07" w:rsidRPr="00A746AD" w:rsidRDefault="00692C07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val="en-GB" w:eastAsia="tr-TR"/>
        </w:rPr>
      </w:pP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 </w:t>
      </w:r>
    </w:p>
    <w:p w:rsidR="00692C07" w:rsidRDefault="0076630C" w:rsidP="00692C07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I</w:t>
      </w:r>
      <w:r w:rsidR="00692C07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stanbul University Faculty of Law – Leiden University, Leiden Law School</w:t>
      </w:r>
    </w:p>
    <w:p w:rsidR="00424E4B" w:rsidRPr="00EF46BC" w:rsidRDefault="00EF46BC" w:rsidP="00EF46BC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Criminal Law and Criminology Research and Application Centre</w:t>
      </w:r>
    </w:p>
    <w:p w:rsidR="00692C07" w:rsidRPr="00A746AD" w:rsidRDefault="00692C07" w:rsidP="00692C07">
      <w:pPr>
        <w:shd w:val="clear" w:color="auto" w:fill="FFFFFF"/>
        <w:spacing w:after="0" w:line="270" w:lineRule="atLeast"/>
        <w:ind w:left="105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  <w:lang w:val="en-GB" w:eastAsia="tr-TR"/>
        </w:rPr>
      </w:pP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Raoul Wallenberg Institute of Human Rights and Humanitarian Law</w:t>
      </w:r>
    </w:p>
    <w:p w:rsidR="00692C07" w:rsidRPr="00A746AD" w:rsidRDefault="00692C07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val="en-GB" w:eastAsia="tr-TR"/>
        </w:rPr>
      </w:pP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 </w:t>
      </w:r>
    </w:p>
    <w:p w:rsidR="0076630C" w:rsidRPr="00A746AD" w:rsidRDefault="00692C07" w:rsidP="008D532D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With the support of the Raoul Wallenberg Institute of Huma</w:t>
      </w:r>
      <w:r w:rsidR="00CA1FDD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n Rights and Humanitarian Law, I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stanbu</w:t>
      </w:r>
      <w:r w:rsidR="00E24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l University Faculty of Law and 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Leiden University, Leiden Law School are proud to </w:t>
      </w:r>
      <w:r w:rsidR="001C75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announce the </w:t>
      </w:r>
      <w:r w:rsidR="00666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first call for the fourth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edition of their joint International Summer Schoo</w:t>
      </w:r>
      <w:r w:rsidR="0076630C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l, to be held in I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stanbul, between </w:t>
      </w:r>
      <w:r w:rsidR="000B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the 11</w:t>
      </w:r>
      <w:r w:rsidR="00821E95"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  <w:lang w:val="en-GB" w:eastAsia="tr-TR"/>
        </w:rPr>
        <w:t>th</w:t>
      </w:r>
      <w:r w:rsidR="00821E95"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 xml:space="preserve"> and </w:t>
      </w:r>
      <w:r w:rsidR="000B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21</w:t>
      </w:r>
      <w:r w:rsidR="000B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  <w:lang w:val="en-GB" w:eastAsia="tr-TR"/>
        </w:rPr>
        <w:t xml:space="preserve">st </w:t>
      </w:r>
      <w:r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of July 201</w:t>
      </w:r>
      <w:r w:rsidR="006664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6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. </w:t>
      </w:r>
    </w:p>
    <w:p w:rsidR="00A746AD" w:rsidRDefault="00A746AD" w:rsidP="00D170BB">
      <w:pPr>
        <w:shd w:val="clear" w:color="auto" w:fill="FFFFFF"/>
        <w:spacing w:after="0" w:line="270" w:lineRule="atLeast"/>
        <w:ind w:left="105" w:firstLine="6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</w:p>
    <w:p w:rsidR="00C82A1E" w:rsidRDefault="00666464" w:rsidP="008D532D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As with its </w:t>
      </w:r>
      <w:r w:rsidR="001B0CDD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previous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three editions, the 2016</w:t>
      </w:r>
      <w:r w:rsidR="001B0CDD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joint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‘Law on the Bosphorus’ </w:t>
      </w:r>
      <w:r w:rsidR="001B0CDD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Summer Schoo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l will be oriented on transnational </w:t>
      </w:r>
      <w:r w:rsidR="001B0CDD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Human</w:t>
      </w:r>
      <w:r w:rsidR="00446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Rights Law, focusing within that domain on a particular theme.</w:t>
      </w:r>
      <w:r w:rsidR="00C8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</w:t>
      </w:r>
      <w:r w:rsidR="00446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The focus of the 2016 Summer School</w:t>
      </w:r>
      <w:r w:rsidR="00E24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, </w:t>
      </w:r>
      <w:r w:rsidR="00E247D9" w:rsidRPr="00166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which will be co-organized by the respective Institutes for Criminal Law and Criminology of both law faculties,</w:t>
      </w:r>
      <w:r w:rsidR="00E24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</w:t>
      </w:r>
      <w:r w:rsidR="00446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will be </w:t>
      </w:r>
      <w:r w:rsidR="00424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on the </w:t>
      </w:r>
      <w:r w:rsidR="00C82A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relationship between Human Rights Law and Criminal Justice. Themes touched upon will be: </w:t>
      </w:r>
    </w:p>
    <w:p w:rsidR="00C82A1E" w:rsidRDefault="00C82A1E" w:rsidP="008D532D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</w:p>
    <w:p w:rsidR="00C82A1E" w:rsidRPr="009F601F" w:rsidRDefault="00C82A1E" w:rsidP="00C82A1E">
      <w:pPr>
        <w:pStyle w:val="ListeParagraf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the </w:t>
      </w:r>
      <w:r w:rsidR="00446626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role transnational Human Rights Law may or should play in </w:t>
      </w: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the determination and effectuation of </w:t>
      </w:r>
      <w:r w:rsidR="00446626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proper reactions to current day threat</w:t>
      </w: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s to safety, security and peace; </w:t>
      </w:r>
    </w:p>
    <w:p w:rsidR="00C82A1E" w:rsidRPr="009F601F" w:rsidRDefault="009F601F" w:rsidP="00C82A1E">
      <w:pPr>
        <w:pStyle w:val="ListeParagraf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the functionalities of Human Rights L</w:t>
      </w: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aw as a facilitator of global and regional alignment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in the </w:t>
      </w:r>
      <w:r w:rsidR="00C82A1E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blurry landscapes in</w:t>
      </w:r>
      <w:r w:rsidR="001D7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which cross-border crime is committed</w:t>
      </w:r>
      <w:r w:rsidR="00C82A1E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; </w:t>
      </w:r>
    </w:p>
    <w:p w:rsidR="00C82A1E" w:rsidRPr="009F601F" w:rsidRDefault="00C82A1E" w:rsidP="00C82A1E">
      <w:pPr>
        <w:pStyle w:val="ListeParagraf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the relativity of ‘fairness’ in fragmented, multi-levelled Criminal J</w:t>
      </w:r>
      <w:bookmarkStart w:id="0" w:name="_GoBack"/>
      <w:bookmarkEnd w:id="0"/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ustice procedures;  </w:t>
      </w:r>
    </w:p>
    <w:p w:rsidR="008D532D" w:rsidRPr="009F601F" w:rsidRDefault="00C82A1E" w:rsidP="00C82A1E">
      <w:pPr>
        <w:pStyle w:val="ListeParagraf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the successes and failures of </w:t>
      </w:r>
      <w:r w:rsidR="008D532D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global counter-terrorism strategies</w:t>
      </w: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; </w:t>
      </w:r>
    </w:p>
    <w:p w:rsidR="009F601F" w:rsidRDefault="00C82A1E" w:rsidP="009F601F">
      <w:pPr>
        <w:pStyle w:val="ListeParagraf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the relationship between Criminal Justice, Human Rights and vulnerable groups, such as children, women, migrants and asylum seekers; </w:t>
      </w:r>
    </w:p>
    <w:p w:rsidR="009F601F" w:rsidRDefault="00C82A1E" w:rsidP="009F601F">
      <w:pPr>
        <w:pStyle w:val="ListeParagraf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the reconciliation of legal cultural differences in </w:t>
      </w:r>
      <w:r w:rsidR="009F601F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criminalization</w:t>
      </w:r>
      <w:r w:rsidR="00265D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– ‘Crime to you, Freedom to me’</w:t>
      </w:r>
      <w:r w:rsidR="00424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;</w:t>
      </w:r>
    </w:p>
    <w:p w:rsidR="00424E4B" w:rsidRDefault="00424E4B" w:rsidP="009F601F">
      <w:pPr>
        <w:pStyle w:val="ListeParagraf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criminal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law reforms in Turkey and in the world.</w:t>
      </w:r>
    </w:p>
    <w:p w:rsidR="00250140" w:rsidRDefault="00250140" w:rsidP="009F60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</w:pPr>
    </w:p>
    <w:p w:rsidR="009F601F" w:rsidRPr="009F601F" w:rsidRDefault="009F601F" w:rsidP="00A746AD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The Summer School will consist of daily lectures and clinics in preparation for the moot</w:t>
      </w:r>
      <w:r w:rsidR="000B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sessions which </w:t>
      </w:r>
      <w:r w:rsidR="00E24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take place at the closing of the Summer School. </w:t>
      </w:r>
    </w:p>
    <w:p w:rsidR="009F601F" w:rsidRDefault="009F601F" w:rsidP="00250140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</w:pPr>
    </w:p>
    <w:p w:rsidR="00692C07" w:rsidRPr="00A746AD" w:rsidRDefault="00692C07" w:rsidP="00250140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VENUE:</w:t>
      </w:r>
      <w:r w:rsidR="001466F1"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 xml:space="preserve"> 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The program will be held in Istanbul</w:t>
      </w:r>
      <w:r w:rsidR="001466F1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University Faculty of Law’s historic pr</w:t>
      </w:r>
      <w:r w:rsidR="008F7F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emises at the heart of Istanbul, </w:t>
      </w:r>
      <w:r w:rsidR="001D7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Turkey. The Summer 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School will take full advantage </w:t>
      </w: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of the unique opportunities offered by this unique venue, embeddi</w:t>
      </w:r>
      <w:r w:rsidR="001B0CDD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ng the academic program</w:t>
      </w:r>
      <w:r w:rsidR="001C1797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with</w:t>
      </w:r>
      <w:r w:rsidR="001D7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in</w:t>
      </w:r>
      <w:r w:rsidR="001C1797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 </w:t>
      </w:r>
      <w:r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the exc</w:t>
      </w:r>
      <w:r w:rsidR="00446626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itement and beauty of Istanbul. During the Summer School, excursions will also be organized to pertinent Cri</w:t>
      </w:r>
      <w:r w:rsidR="001D7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minal Justice and Human Rights a</w:t>
      </w:r>
      <w:r w:rsidR="00446626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ctors </w:t>
      </w:r>
      <w:r w:rsidR="001D71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and </w:t>
      </w:r>
      <w:r w:rsidR="009F601F" w:rsidRP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venues.</w:t>
      </w:r>
      <w:r w:rsidR="009F60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GB" w:eastAsia="tr-TR"/>
        </w:rPr>
        <w:t xml:space="preserve"> </w:t>
      </w:r>
    </w:p>
    <w:p w:rsidR="00C23D62" w:rsidRPr="00A746AD" w:rsidRDefault="00C23D62" w:rsidP="001C179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val="en-GB" w:eastAsia="tr-TR"/>
        </w:rPr>
      </w:pPr>
    </w:p>
    <w:p w:rsidR="000A12C8" w:rsidRPr="00250140" w:rsidRDefault="00692C07" w:rsidP="008F7F12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GB" w:eastAsia="tr-TR"/>
        </w:rPr>
      </w:pPr>
      <w:r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TUTORS:</w:t>
      </w:r>
      <w:r w:rsidR="001466F1"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 xml:space="preserve"> 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The lectures and </w:t>
      </w:r>
      <w:r w:rsid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clinics 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of the Summer School will be </w:t>
      </w:r>
      <w:r w:rsidR="009F6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delivered by 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lecturers from Leiden Law Sc</w:t>
      </w:r>
      <w:r w:rsidR="00E4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hool </w:t>
      </w:r>
      <w:r w:rsidR="00E24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and </w:t>
      </w:r>
      <w:r w:rsidR="00E411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I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stanbul University Faculty of Law as well as other guest lecturers. </w:t>
      </w:r>
    </w:p>
    <w:p w:rsidR="003E58EB" w:rsidRPr="00A746AD" w:rsidRDefault="003E58EB" w:rsidP="00A746A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tr-TR"/>
        </w:rPr>
      </w:pPr>
    </w:p>
    <w:p w:rsidR="00692C07" w:rsidRPr="00A746AD" w:rsidRDefault="003E58EB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</w:pPr>
      <w:r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FOR ENQUIR</w:t>
      </w:r>
      <w:r w:rsidR="000B60A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I</w:t>
      </w:r>
      <w:r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ES AND APPLICATION: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</w:t>
      </w:r>
      <w:r w:rsidR="00821E95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At </w:t>
      </w:r>
      <w:hyperlink r:id="rId7" w:history="1">
        <w:r w:rsidR="00692C07" w:rsidRPr="00A746A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GB" w:eastAsia="tr-TR"/>
          </w:rPr>
          <w:t>summerlaw@istanbul.edu.tr</w:t>
        </w:r>
      </w:hyperlink>
      <w:r w:rsidR="00692C07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. Applicants will be asked to submit </w:t>
      </w:r>
      <w:r w:rsidR="000B6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a request for an </w:t>
      </w:r>
      <w:r w:rsidR="00E24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application form and </w:t>
      </w:r>
      <w:r w:rsidR="00721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return the</w:t>
      </w:r>
      <w:r w:rsidR="00F474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form together </w:t>
      </w:r>
      <w:proofErr w:type="gramStart"/>
      <w:r w:rsidR="00F474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with a </w:t>
      </w:r>
      <w:r w:rsidR="00721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Curriculum </w:t>
      </w:r>
      <w:r w:rsidR="00821E95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Vitae</w:t>
      </w:r>
      <w:proofErr w:type="gramEnd"/>
      <w:r w:rsidR="00692C07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, letter of motivation describing their purpose in attending the Summer School and an academic letter of reference.</w:t>
      </w:r>
      <w:r w:rsidR="001466F1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</w:t>
      </w:r>
      <w:r w:rsidR="00A52F39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Criteria for applications are that participants have a good basis</w:t>
      </w:r>
      <w:r w:rsidR="008D53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 in Human Rights Law and command of </w:t>
      </w:r>
      <w:r w:rsidR="00A52F39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the English language. </w:t>
      </w:r>
      <w:r w:rsidR="001B0CDD"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 xml:space="preserve">Further details regarding the academic program and social activities will be provided upon application. </w:t>
      </w:r>
    </w:p>
    <w:p w:rsidR="001B0CDD" w:rsidRPr="00A746AD" w:rsidRDefault="001B0CD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1466F1" w:rsidRDefault="001B0CD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A746AD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FEE:</w:t>
      </w:r>
      <w:r w:rsidRPr="00A746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The fee</w:t>
      </w:r>
      <w:r w:rsidR="0037324B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for the 2016</w:t>
      </w:r>
      <w:r w:rsidR="001466F1" w:rsidRPr="00A746AD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Summer School is </w:t>
      </w:r>
      <w:r w:rsidR="008F4802" w:rsidRPr="008F4802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200</w:t>
      </w:r>
      <w:r w:rsidR="001466F1" w:rsidRPr="008F4802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</w:t>
      </w:r>
      <w:r w:rsidR="00A746AD" w:rsidRPr="008F4802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Euros</w:t>
      </w:r>
      <w:r w:rsidR="00C574AA" w:rsidRPr="008F480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r w:rsidR="00A746AD" w:rsidRPr="008F480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for </w:t>
      </w:r>
      <w:r w:rsidR="00A746AD" w:rsidRPr="008F4802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students </w:t>
      </w:r>
      <w:r w:rsidR="00C574AA" w:rsidRPr="008F480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and </w:t>
      </w:r>
      <w:r w:rsidR="008F4802" w:rsidRPr="008F4802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300</w:t>
      </w:r>
      <w:r w:rsidR="001466F1" w:rsidRPr="008F4802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</w:t>
      </w:r>
      <w:r w:rsidR="00E4114D" w:rsidRPr="008F4802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Euros for non-students</w:t>
      </w:r>
      <w:r w:rsidRPr="008F480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. The fee will include </w:t>
      </w:r>
      <w:r w:rsidR="001466F1" w:rsidRPr="008F4802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the lunches, boat trips, opening and final dinners and social programmes.</w:t>
      </w:r>
    </w:p>
    <w:p w:rsidR="00A746AD" w:rsidRDefault="00A746A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A746AD" w:rsidRDefault="00A746AD" w:rsidP="00A746AD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</w:pPr>
    </w:p>
    <w:p w:rsidR="00A746AD" w:rsidRPr="00A746AD" w:rsidRDefault="00A746AD" w:rsidP="00A746AD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tr-TR"/>
        </w:rPr>
      </w:pPr>
      <w:r w:rsidRPr="00A746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tr-TR"/>
        </w:rPr>
        <w:t>DEADLINE FOR APPLICATION:</w:t>
      </w:r>
      <w:r w:rsidRPr="00A74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tr-TR"/>
        </w:rPr>
        <w:t> </w:t>
      </w:r>
      <w:r w:rsidRPr="00A7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tr-TR"/>
        </w:rPr>
        <w:t>1</w:t>
      </w:r>
      <w:r w:rsidRPr="00A7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val="en-GB" w:eastAsia="tr-TR"/>
        </w:rPr>
        <w:t>st </w:t>
      </w:r>
      <w:r w:rsidR="008D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tr-TR"/>
        </w:rPr>
        <w:t>of April 2016</w:t>
      </w:r>
      <w:r w:rsidRPr="00A7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 w:eastAsia="tr-TR"/>
        </w:rPr>
        <w:t xml:space="preserve">. </w:t>
      </w:r>
    </w:p>
    <w:p w:rsidR="00A746AD" w:rsidRDefault="00A746A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A746AD" w:rsidRDefault="00A746A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A746AD" w:rsidRDefault="00A746A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A746AD" w:rsidRPr="00A746AD" w:rsidRDefault="00A746A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A746AD" w:rsidRDefault="00A746A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lang w:val="en-GB" w:eastAsia="tr-TR"/>
        </w:rPr>
      </w:pPr>
    </w:p>
    <w:p w:rsidR="00A746AD" w:rsidRPr="001466F1" w:rsidRDefault="00A746AD" w:rsidP="00692C07">
      <w:pPr>
        <w:shd w:val="clear" w:color="auto" w:fill="FFFFFF"/>
        <w:spacing w:after="0" w:line="270" w:lineRule="atLeast"/>
        <w:ind w:left="105"/>
        <w:jc w:val="both"/>
        <w:rPr>
          <w:rFonts w:ascii="Times New Roman" w:eastAsia="Times New Roman" w:hAnsi="Times New Roman" w:cs="Times New Roman"/>
          <w:lang w:val="en-GB" w:eastAsia="tr-TR"/>
        </w:rPr>
      </w:pPr>
      <w:r w:rsidRPr="001466F1">
        <w:rPr>
          <w:noProof/>
          <w:lang w:eastAsia="tr-TR"/>
        </w:rPr>
        <w:drawing>
          <wp:inline distT="0" distB="0" distL="0" distR="0">
            <wp:extent cx="5760720" cy="966470"/>
            <wp:effectExtent l="0" t="0" r="0" b="0"/>
            <wp:docPr id="2" name="Resim 1" descr="http://insanhaklari.istanbul.edu.tr/images/Istanbul%20Summer%20School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anhaklari.istanbul.edu.tr/images/Istanbul%20Summer%20School%202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6AD" w:rsidRPr="001466F1" w:rsidSect="00D9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051"/>
    <w:multiLevelType w:val="hybridMultilevel"/>
    <w:tmpl w:val="8154F3AE"/>
    <w:lvl w:ilvl="0" w:tplc="04EC3708">
      <w:start w:val="9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DC70DF0"/>
    <w:multiLevelType w:val="hybridMultilevel"/>
    <w:tmpl w:val="092888B8"/>
    <w:lvl w:ilvl="0" w:tplc="A8CABBB8">
      <w:start w:val="9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BA442B"/>
    <w:rsid w:val="00016560"/>
    <w:rsid w:val="000A12C8"/>
    <w:rsid w:val="000B60AA"/>
    <w:rsid w:val="0011117C"/>
    <w:rsid w:val="001466F1"/>
    <w:rsid w:val="00166E41"/>
    <w:rsid w:val="001B0CDD"/>
    <w:rsid w:val="001C1797"/>
    <w:rsid w:val="001C753A"/>
    <w:rsid w:val="001D713A"/>
    <w:rsid w:val="00250140"/>
    <w:rsid w:val="00265D81"/>
    <w:rsid w:val="00266FF5"/>
    <w:rsid w:val="002670D7"/>
    <w:rsid w:val="002E07B8"/>
    <w:rsid w:val="0037324B"/>
    <w:rsid w:val="003E58EB"/>
    <w:rsid w:val="00424E4B"/>
    <w:rsid w:val="00446626"/>
    <w:rsid w:val="00477744"/>
    <w:rsid w:val="005E1F02"/>
    <w:rsid w:val="00625ED4"/>
    <w:rsid w:val="00666464"/>
    <w:rsid w:val="00671084"/>
    <w:rsid w:val="006848C5"/>
    <w:rsid w:val="00692C07"/>
    <w:rsid w:val="00721237"/>
    <w:rsid w:val="0076630C"/>
    <w:rsid w:val="00821E95"/>
    <w:rsid w:val="00845F96"/>
    <w:rsid w:val="008D272F"/>
    <w:rsid w:val="008D532D"/>
    <w:rsid w:val="008F4802"/>
    <w:rsid w:val="008F7F12"/>
    <w:rsid w:val="00944322"/>
    <w:rsid w:val="00984BF7"/>
    <w:rsid w:val="009F601F"/>
    <w:rsid w:val="00A0540D"/>
    <w:rsid w:val="00A21A37"/>
    <w:rsid w:val="00A52F39"/>
    <w:rsid w:val="00A553C7"/>
    <w:rsid w:val="00A746AD"/>
    <w:rsid w:val="00B3465C"/>
    <w:rsid w:val="00BA442B"/>
    <w:rsid w:val="00BB2D66"/>
    <w:rsid w:val="00C23D62"/>
    <w:rsid w:val="00C27B0D"/>
    <w:rsid w:val="00C574AA"/>
    <w:rsid w:val="00C82A1E"/>
    <w:rsid w:val="00CA1FDD"/>
    <w:rsid w:val="00CF5ED7"/>
    <w:rsid w:val="00D170BB"/>
    <w:rsid w:val="00D56EB1"/>
    <w:rsid w:val="00D90B8B"/>
    <w:rsid w:val="00E247D9"/>
    <w:rsid w:val="00E4114D"/>
    <w:rsid w:val="00E75225"/>
    <w:rsid w:val="00ED6657"/>
    <w:rsid w:val="00EF46BC"/>
    <w:rsid w:val="00EF4C60"/>
    <w:rsid w:val="00F47483"/>
    <w:rsid w:val="00F9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C0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692C0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92C07"/>
  </w:style>
  <w:style w:type="paragraph" w:styleId="ListeParagraf">
    <w:name w:val="List Paragraph"/>
    <w:basedOn w:val="Normal"/>
    <w:uiPriority w:val="34"/>
    <w:qFormat/>
    <w:rsid w:val="0025014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A12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A12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A12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A12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A12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2C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2C07"/>
  </w:style>
  <w:style w:type="paragraph" w:styleId="ListParagraph">
    <w:name w:val="List Paragraph"/>
    <w:basedOn w:val="Normal"/>
    <w:uiPriority w:val="34"/>
    <w:qFormat/>
    <w:rsid w:val="002501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2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mmerlaw@istanbul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9703-B029-4E72-AC76-925ECDC3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Leiden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MİLHUKUK_SK_DESKTOP</dc:creator>
  <cp:lastModifiedBy>user</cp:lastModifiedBy>
  <cp:revision>8</cp:revision>
  <cp:lastPrinted>2016-01-18T12:51:00Z</cp:lastPrinted>
  <dcterms:created xsi:type="dcterms:W3CDTF">2016-01-15T13:19:00Z</dcterms:created>
  <dcterms:modified xsi:type="dcterms:W3CDTF">2016-01-27T11:52:00Z</dcterms:modified>
</cp:coreProperties>
</file>